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285115</wp:posOffset>
            </wp:positionH>
            <wp:positionV relativeFrom="page">
              <wp:posOffset>1097280</wp:posOffset>
            </wp:positionV>
            <wp:extent cx="6991985" cy="7194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Umowa o partnerstwie na rzecz realizacji Projektu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Akademia kompetencji w Gminie Rybno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Umowa o partnerstwie na rzecz realizacji Projektu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Akademia kompetencji w Gminie Rybno w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ramach Regionalnego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Programu Operacyjnego Województwa Mazowieckiego na lata 2014-2020 (RPO WM 2014-2020) współfinansowanego z Europejskiego Funduszu Społecznego, zwana dalej „umową”, zawarta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dniu ……………..…… r. między: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Gminą Rybno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 siedzibą w: ………………………………..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reprezentowaną przez ………………………………..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zwaną dalej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Partnerem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wiodącym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………………………., prowadzącą działalność 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>, z siedzibą ………………………………………………………..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reprezentowaną przez ………………………………………………………..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zwaną dalej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Partnerem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łącznie zwanymi dalej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Stronami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 podstawie art. 33 ustawy z dnia 11 lipca 2014 r. o zasadach realizacji programów w zakresie polityki spójności finansowanych w perspektywie finansowej 2014-2020 (Dz. U. poz. 1146, z późn. zm.).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 1.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Przedmiot umowy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jc w:val="both"/>
        <w:ind w:left="360" w:hanging="354"/>
        <w:spacing w:after="0" w:line="229" w:lineRule="auto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Ustanawia się partnerstwo na rzecz realizacji Projektu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Akademia kompetencji w Gminie Rybno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realizowanego w ramach Osi Priorytetowej X Edukacja dla rozwoju regionu, Działania 10.1 Edukacja ogólna i przedszkolna, Poddziałania 10.1.1 Edukacja ogólna (w tym w szkołach zawodowych) RPO WM 2014-2020, zwanego dalej „Projektem”.</w:t>
      </w:r>
    </w:p>
    <w:p>
      <w:pPr>
        <w:spacing w:after="0" w:line="16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5" w:lineRule="auto"/>
        <w:tabs>
          <w:tab w:leader="none" w:pos="44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Strony umowy stwierdzają zgodnie, że wskazane w ust. 1 Partnerstwo zostało utworzone w celu realizacji Projektu, którego opis stanowi wniosek o dofinansowanie realizacji projektu o numerze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RPMA.10.01.01-14-a368/18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zwany dalej Wnioskiem.</w:t>
      </w:r>
    </w:p>
    <w:p>
      <w:pPr>
        <w:spacing w:after="0" w:line="17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Umowa określa w szczególności zasady funkcjonowania partnerstwa, zasady współpracy Partnera wiodącego i Partnera oraz współpracy między Partnerami przy realizacji Projektu.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Okres realizacji Projektu jest zgodny z okresem wskazanym we Wniosku i dotyczy realizacji zadań w ramach</w:t>
      </w:r>
    </w:p>
    <w:p>
      <w:pPr>
        <w:ind w:left="36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Projektu.</w:t>
      </w:r>
    </w:p>
    <w:p>
      <w:pPr>
        <w:spacing w:after="0" w:line="6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1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Odpowiedzialność Partnerów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jc w:val="both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umowy ponoszą odpowiedzialność za prawidłową realizację umowy w zakresie przypisanych zadań, w tym za realizację Projektu zgodnie z Wnioskiem i podanym w nim harmonogramie. Partner wiodący ponosi pełną odpowiedzialność za prawidłową realizację Projektu.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Zakres odpowiedzialności Partnera wiodącego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stwierdzają zgodnie, że Gmina Rybno pełni funkcję Partnera wiodącego odpowiedzialnego w szczególności za: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reprezentowanie Partnerów przed Instytucją Zarządzającą;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koordynowanie (w tym monitorowanie i nadzorowanie) prawidłowości działań Partnera przy realizacji zadań zawartych w Projekcie;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udziału Partnera w podejmowaniu decyzji i realizacji zadań, na zasadach określonych w niniejszej umowie;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wsparcie Partnera w realizacji powierzonych zadań;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sprawnego systemu komunikacji z Partnerem oraz Instytucją Zarządzającą;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prawidłowości operacji finansowych,</w:t>
      </w:r>
    </w:p>
    <w:p>
      <w:pPr>
        <w:spacing w:after="0" w:line="16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60" w:hanging="426"/>
        <w:spacing w:after="0" w:line="225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przedkładanie wniosków o płatność do Instytucji Zarządzającej celem rozliczenia wydatków w Projekcie oraz otrzymania środków na dofinansowanie zadań Partnera wiodącego i Partnera, w tym monitorowanie wskaźników zadeklarowanych we Wniosku;</w:t>
      </w:r>
    </w:p>
    <w:p>
      <w:pPr>
        <w:spacing w:after="0" w:line="17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informowanie Instytucji Zarządzającej o problemach w realizacji Projektu, w tym o zamiarze zaprzestania jego realizacji lub o zagrożeniu nieosiągnięcia zaplanowanych wskaźników określonych we Wniosku projektu;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60" w:hanging="426"/>
        <w:spacing w:after="0" w:line="231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zapewnienie zachowania zasady równości szans i niedyskryminacji oraz zasady równości szans kobiet i mężczyzn w ramach partnerstwa zgodnie z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Wytycznymi w zakresie realizacji zasady równości szans 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niedyskryminacji, w tym dostępności dla osób z niepełnosprawnościami oraz równości szans kobiet i mężczyzn w ramach funduszy unijnych na lata 2014-2020</w:t>
      </w:r>
      <w:r>
        <w:rPr>
          <w:rFonts w:ascii="Calibri" w:cs="Calibri" w:eastAsia="Calibri" w:hAnsi="Calibri"/>
          <w:sz w:val="22"/>
          <w:szCs w:val="22"/>
          <w:color w:val="auto"/>
        </w:rPr>
        <w:t>, które dostępne są na stronie internetowej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RPO WM 2014-2020: http://www.funduszedlamazowsza.eu/;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prowadzenie rejestru udzielanej w ramach partnerstwa pomocy publicznej na potrzeby monitorowania i kontroli zgodności z zasadami pomocy publicznej;</w:t>
      </w:r>
    </w:p>
    <w:p>
      <w:pPr>
        <w:spacing w:after="0" w:line="1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koordynację działań partnerstwa na rzecz upowszechniania informacji o nim i jego celów.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9" w:lineRule="auto"/>
        <w:tabs>
          <w:tab w:leader="none" w:pos="44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upoważnia Partnera wiodącego do reprezentowania Partnera wobec Instytucji Zarządzającej oraz wobec osób trzecich w działaniach związanych z realizacją Projektu. Pełnomocnictwo obejmuje w szczególności upoważnienie do zawarcia umowy o dofinansowanie projektu oraz do podpisywania aneksów do tej umowy. Pełnomocnictwo dla Partnera wiodącego do reprezentowania Partnera stanowi załącznik nr 1 do niniejszej umowy.</w:t>
      </w:r>
    </w:p>
    <w:p>
      <w:pPr>
        <w:spacing w:after="0" w:line="1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5" w:lineRule="auto"/>
        <w:tabs>
          <w:tab w:leader="none" w:pos="44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nie może bez uzyskania uprzedniej zgody Partnera, w formie komunikacji przyjętej w partnerstwie, akceptować lub przedstawiać propozycji zmian zakresu Projektu lub warunków jego realizacji, o ile strony nie postanowią inaczej.</w:t>
      </w:r>
    </w:p>
    <w:p>
      <w:pPr>
        <w:spacing w:after="0" w:line="16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9" w:lineRule="auto"/>
        <w:tabs>
          <w:tab w:leader="none" w:pos="44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jest zobowiązany do współpracy z podmiotami zewnętrznymi, realizującymi badanie ewaluacyjne na zlecenie Instytucji Zarządzającej lub innego podmiotu, który zawarł porozumienie z Instytucją Zarządzającą na realizację ewaluacji, poprzez udzielanie każdorazowo na wniosek tych podmiotów dokumentów i informacji na temat realizacji Projektu, niezbędnych do przeprowadzenia badania ewaluacyjnego.</w:t>
      </w:r>
    </w:p>
    <w:p>
      <w:pPr>
        <w:spacing w:after="0" w:line="1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2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Zakres i forma udziału Partnerów w Projekcie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440" w:hanging="434"/>
        <w:spacing w:after="0" w:line="225" w:lineRule="auto"/>
        <w:tabs>
          <w:tab w:leader="none" w:pos="44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Wskazane poniżej Strony umowy pełnią funkcję Partnerów Projektu. Oznacza to, że Partner współuczestniczy w realizacji Projektu, będąc odpowiedzialnym za realizację jednego lub kilku zadań określonych w Projekcie. Partner jest także zobowiązany do osiągnięcia zadeklarowanych wskaźników produktu oraz rezultatu określonych we</w:t>
      </w:r>
    </w:p>
    <w:p>
      <w:pPr>
        <w:spacing w:after="0" w:line="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Wniosku w podanym w nim terminie.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Strony ustalają następujący podział zadań w Projekcie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1720" w:hanging="286"/>
        <w:spacing w:after="0" w:line="303" w:lineRule="auto"/>
        <w:tabs>
          <w:tab w:leader="none" w:pos="720" w:val="left"/>
        </w:tabs>
        <w:numPr>
          <w:ilvl w:val="1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Gmina Rybno jest odpowiedzialna za realizację następujących zadań określonych w Projekcie: a) ZADANIE 1 - Zajęcia dodatkowe dla uczniów: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8" w:orient="portrait"/>
          <w:cols w:equalWidth="0" w:num="1">
            <w:col w:w="10780"/>
          </w:cols>
          <w:pgMar w:left="560" w:top="1424" w:right="566" w:bottom="0" w:gutter="0" w:footer="0" w:header="0"/>
        </w:sectPr>
      </w:pPr>
    </w:p>
    <w:bookmarkStart w:id="2" w:name="page3"/>
    <w:bookmarkEnd w:id="2"/>
    <w:p>
      <w:pPr>
        <w:ind w:left="910" w:hanging="125"/>
        <w:spacing w:after="0"/>
        <w:tabs>
          <w:tab w:leader="none" w:pos="91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zatrudnienie nauczycieli do prowadzenia zajęć;</w:t>
      </w:r>
    </w:p>
    <w:p>
      <w:pPr>
        <w:ind w:left="910" w:hanging="125"/>
        <w:spacing w:after="0"/>
        <w:tabs>
          <w:tab w:leader="none" w:pos="91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sal w postaci wkładu własnego;</w:t>
      </w:r>
    </w:p>
    <w:p>
      <w:pPr>
        <w:ind w:left="1010" w:hanging="225"/>
        <w:spacing w:after="0"/>
        <w:tabs>
          <w:tab w:leader="none" w:pos="1010" w:val="left"/>
        </w:tabs>
        <w:numPr>
          <w:ilvl w:val="5"/>
          <w:numId w:val="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ZADANIE 3 - Wyposażenie pracowni matematycznych, przyrodniczych i TIK.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90" w:hanging="286"/>
        <w:spacing w:after="0"/>
        <w:tabs>
          <w:tab w:leader="none" w:pos="790" w:val="left"/>
        </w:tabs>
        <w:numPr>
          <w:ilvl w:val="3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„Best English”- Angielski dla Dzieci jest odpowiedzialny za realizację następujących zadań określonych w</w:t>
      </w:r>
    </w:p>
    <w:p>
      <w:pPr>
        <w:ind w:left="79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Projekcie: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150" w:hanging="365"/>
        <w:spacing w:after="0"/>
        <w:tabs>
          <w:tab w:leader="none" w:pos="1150" w:val="left"/>
        </w:tabs>
        <w:numPr>
          <w:ilvl w:val="5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ZADANIE 1 - Zajęcia dodatkowe dla uczniów;</w:t>
      </w:r>
    </w:p>
    <w:p>
      <w:pPr>
        <w:ind w:left="890" w:hanging="115"/>
        <w:spacing w:after="0"/>
        <w:tabs>
          <w:tab w:leader="none" w:pos="890" w:val="left"/>
        </w:tabs>
        <w:numPr>
          <w:ilvl w:val="4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prowadzenie zajęć’</w:t>
      </w:r>
    </w:p>
    <w:p>
      <w:pPr>
        <w:ind w:left="910" w:hanging="125"/>
        <w:spacing w:after="0"/>
        <w:tabs>
          <w:tab w:leader="none" w:pos="910" w:val="left"/>
        </w:tabs>
        <w:numPr>
          <w:ilvl w:val="4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zakup pomocy dydaktycznych do zajęć,</w:t>
      </w:r>
    </w:p>
    <w:p>
      <w:pPr>
        <w:ind w:left="910" w:hanging="125"/>
        <w:spacing w:after="0"/>
        <w:tabs>
          <w:tab w:leader="none" w:pos="910" w:val="left"/>
        </w:tabs>
        <w:numPr>
          <w:ilvl w:val="4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wyjazd do Narodowego Centrum Badań Jądrowych, Centrum Kopernika;</w:t>
      </w:r>
    </w:p>
    <w:p>
      <w:pPr>
        <w:ind w:left="910" w:hanging="125"/>
        <w:spacing w:after="0" w:line="238" w:lineRule="auto"/>
        <w:tabs>
          <w:tab w:leader="none" w:pos="910" w:val="left"/>
        </w:tabs>
        <w:numPr>
          <w:ilvl w:val="4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organizacja i realizacja półkolonii;</w:t>
      </w:r>
    </w:p>
    <w:p>
      <w:pPr>
        <w:ind w:left="910" w:hanging="125"/>
        <w:spacing w:after="0"/>
        <w:tabs>
          <w:tab w:leader="none" w:pos="910" w:val="left"/>
        </w:tabs>
        <w:numPr>
          <w:ilvl w:val="4"/>
          <w:numId w:val="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transportu dla uczniów na zajęcia;</w:t>
      </w:r>
    </w:p>
    <w:p>
      <w:pPr>
        <w:ind w:left="1150" w:hanging="365"/>
        <w:spacing w:after="0"/>
        <w:tabs>
          <w:tab w:leader="none" w:pos="1150" w:val="left"/>
        </w:tabs>
        <w:numPr>
          <w:ilvl w:val="5"/>
          <w:numId w:val="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ZADANIE 2 - Szkolenia dla nauczycieli.</w:t>
      </w:r>
    </w:p>
    <w:p>
      <w:pPr>
        <w:spacing w:after="0" w:line="2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30" w:hanging="354"/>
        <w:spacing w:after="0"/>
        <w:tabs>
          <w:tab w:leader="none" w:pos="430" w:val="left"/>
        </w:tabs>
        <w:numPr>
          <w:ilvl w:val="1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wykonują samodzielnie przyjęte na siebie zadania, wobec czego: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790" w:hanging="354"/>
        <w:spacing w:after="0" w:line="229" w:lineRule="auto"/>
        <w:tabs>
          <w:tab w:leader="none" w:pos="790" w:val="left"/>
        </w:tabs>
        <w:numPr>
          <w:ilvl w:val="2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nie jest dopuszczalne zlecanie usług merytorycznych lub istotnych jego części przez Partnera wiodącego Partnerowi i odwrotnie, w tym kierowanie zapytań ofertowych do podmiotów partnerstwa podczas udzielania zamówień publicznych w ramach Projektu, a także angażowanie jako personelu Projektu pracowników Partnera przez Partnera wiodącego i odwrotnie;</w:t>
      </w:r>
    </w:p>
    <w:p>
      <w:pPr>
        <w:spacing w:after="0" w:line="1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90" w:hanging="354"/>
        <w:spacing w:after="0" w:line="217" w:lineRule="auto"/>
        <w:tabs>
          <w:tab w:leader="none" w:pos="790" w:val="left"/>
        </w:tabs>
        <w:numPr>
          <w:ilvl w:val="2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zlecanie części usług merytorycznych podmiotom nie będącym stroną umowy, zwanym dalej wykonawcami, może dotyczyć jedynie części zadań powierzonych Partnerowi zgodnie z ust. 2, o ile przewiduje tak Wniosek.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30" w:hanging="354"/>
        <w:spacing w:after="0" w:line="218" w:lineRule="auto"/>
        <w:tabs>
          <w:tab w:leader="none" w:pos="430" w:val="left"/>
        </w:tabs>
        <w:numPr>
          <w:ilvl w:val="1"/>
          <w:numId w:val="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Wykonanie części usług merytorycznych przez wykonawcę wymaga uprzedniej zgody Partnera wiodącego wyrażonej na piśmie oraz zatwierdzenia zmiany Wniosku przez Instytucję Zarządzającą.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50" w:hanging="350"/>
        <w:spacing w:after="0" w:line="218" w:lineRule="auto"/>
        <w:tabs>
          <w:tab w:leader="none" w:pos="350" w:val="left"/>
        </w:tabs>
        <w:numPr>
          <w:ilvl w:val="0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zapewnia, że wykonawcy będą przestrzegać postanowień umowy oraz odpowiadają przed Partnerem wiodącym za wszelkie działania lub zaniechania wykonawcy jak za swoje działania lub zaniechania.</w:t>
      </w:r>
    </w:p>
    <w:p>
      <w:pPr>
        <w:spacing w:after="0" w:line="1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30" w:hanging="354"/>
        <w:spacing w:after="0" w:line="229" w:lineRule="auto"/>
        <w:tabs>
          <w:tab w:leader="none" w:pos="430" w:val="left"/>
        </w:tabs>
        <w:numPr>
          <w:ilvl w:val="1"/>
          <w:numId w:val="1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Zmiany w podziale zadań do wykonania lub w zakresie i sposobie wykonywania powierzonego Partnerowi zadania wymaga jego zgody, wyrażonej na piśmie. Wszelkie zmiany w partnerstwie polegające na zwiększeniu lub zmniejszeniu liczby partnerów, zmianie partnera, zakresu zadań partnerów lub rezygnacji z partnerstwa, wymagają dodatkowo zgłoszenia do Instytucji Zarządzającej i uzyskania jej pisemnej akceptacji.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center"/>
        <w:ind w:right="-6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 5.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center"/>
        <w:ind w:right="-6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Obowiązki Partnerów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510" w:hanging="434"/>
        <w:spacing w:after="0"/>
        <w:tabs>
          <w:tab w:leader="none" w:pos="510" w:val="left"/>
        </w:tabs>
        <w:numPr>
          <w:ilvl w:val="0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umowy zobowiązane są w szczególności do 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30" w:hanging="426"/>
        <w:spacing w:after="0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aktywnego uczestnictwa i współpracy w działaniach Partnerstwa mających na celu realizację Projektu;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30" w:hanging="426"/>
        <w:spacing w:after="0" w:line="218" w:lineRule="auto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informowania Partnera wiodącego celem uzyskania akceptacji o planowanych zmianach w zadaniach Partnera realizowanych w ramach Projektu;</w:t>
      </w:r>
    </w:p>
    <w:p>
      <w:pPr>
        <w:spacing w:after="0" w:line="1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30" w:hanging="426"/>
        <w:spacing w:after="0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stosowania przyjętego systemu przepływu informacji i komunikacji między Partnerami określonego w umowie</w:t>
      </w:r>
    </w:p>
    <w:p>
      <w:pPr>
        <w:ind w:left="93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(mail, telefon);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930" w:hanging="426"/>
        <w:spacing w:after="0" w:line="224" w:lineRule="auto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>
      <w:pPr>
        <w:spacing w:after="0" w:line="17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930" w:hanging="426"/>
        <w:spacing w:after="0" w:line="218" w:lineRule="auto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niezwłocznego informowania Partnera wiodącego o przeszkodach przy realizacji zadań, w tym o ryzyku zaprzestania realizacji zadań lub o zagrożeniu nieosiągnięcia zaplanowanych wskaźników określonych we</w:t>
      </w:r>
    </w:p>
    <w:p>
      <w:pPr>
        <w:ind w:left="93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Wniosku;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30" w:hanging="426"/>
        <w:spacing w:after="0"/>
        <w:tabs>
          <w:tab w:leader="none" w:pos="930" w:val="left"/>
        </w:tabs>
        <w:numPr>
          <w:ilvl w:val="1"/>
          <w:numId w:val="1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otwarcia wyodrębnionego rachunku bankowego na środki otrzymane w formie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zaliczki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w ramach Projektu;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right="-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38" w:orient="portrait"/>
          <w:cols w:equalWidth="0" w:num="1">
            <w:col w:w="10850"/>
          </w:cols>
          <w:pgMar w:left="490" w:top="1424" w:right="566" w:bottom="0" w:gutter="0" w:footer="0" w:header="0"/>
        </w:sectPr>
      </w:pPr>
    </w:p>
    <w:bookmarkStart w:id="3" w:name="page4"/>
    <w:bookmarkEnd w:id="3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przedstawiania Partnerowi wiodącemu informacji finansowych i sprawozdawczych w terminach i formie umożliwiającej przygotowanie wniosków o płatność wymaganych w umowie o dofinansowanie Projektu;</w:t>
      </w:r>
    </w:p>
    <w:p>
      <w:pPr>
        <w:spacing w:after="0" w:line="1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00" w:hanging="366"/>
        <w:spacing w:after="0" w:line="265" w:lineRule="auto"/>
        <w:tabs>
          <w:tab w:leader="none" w:pos="800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ponoszenia wydatków na realizację zadań w ramach projektu na warunkach określonych w Wytycznych dotyczących kwalifikowalności wydatków w ramach Europejskiego Funduszu Rozwoju Regionalnego, Europejskiego Funduszu Społecznego oraz Funduszu Spójności na lata 2014-2020 i Wytycznych programowych w zakresie zarządzania ryzykiem oraz wprowadzenia skutecznych i proporcjonalnych środków zwalczania nadużyć finansowych w ramach RPO WM na lata 2014-2020;</w:t>
      </w:r>
    </w:p>
    <w:p>
      <w:pPr>
        <w:spacing w:after="0" w:line="12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0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poddania się kontroli w zakresie prawidłowej realizacji zadań w Projekcie realizowanej przez Partnera wiodącego, Instytucję Zarządzającą oraz inne uprawnione do kontroli podmioty, w tym:</w:t>
      </w:r>
    </w:p>
    <w:p>
      <w:pPr>
        <w:spacing w:after="0" w:line="16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1140" w:hanging="281"/>
        <w:spacing w:after="0" w:line="232" w:lineRule="auto"/>
        <w:tabs>
          <w:tab w:leader="none" w:pos="1140" w:val="left"/>
        </w:tabs>
        <w:numPr>
          <w:ilvl w:val="1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zapewnienie dostępu do dokumentów związanych z realizacją projektu oraz dokumentów niezwiązanych bezpośrednio z realizacją projektu, o ile jest to konieczne do stwierdzenia kwalifikowalności wydatków w ramach projektu, jak też zapewnienie dostępu do urządzeń, materiałów, pomieszczeń, terenu realizacji projektu, systemów teleinformatycznych związanych z Projektem i sprzętów zakupionych w ramach Projektu oraz umożliwienia sporządzania kopii i odpisów ww. dokumentów i tworzenia dokumentacji fotograficznej;</w:t>
      </w:r>
    </w:p>
    <w:p>
      <w:pPr>
        <w:spacing w:after="0" w:line="175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1140" w:hanging="281"/>
        <w:spacing w:after="0" w:line="225" w:lineRule="auto"/>
        <w:tabs>
          <w:tab w:leader="none" w:pos="1140" w:val="left"/>
        </w:tabs>
        <w:numPr>
          <w:ilvl w:val="1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umożliwienie uprawnionym podmiotom przeprowadzenia czynności kontrolnych, w tym dostępu do swojej siedziby i miejsca realizacji zadań bezpośrednio przez Strony umowy lub wykonawców, udzielania informacji i wyjaśnień podmiotowi przeprowadzającemu kontrolę;</w:t>
      </w:r>
    </w:p>
    <w:p>
      <w:pPr>
        <w:spacing w:after="0" w:line="17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1140" w:hanging="281"/>
        <w:spacing w:after="0" w:line="224" w:lineRule="auto"/>
        <w:tabs>
          <w:tab w:leader="none" w:pos="1140" w:val="left"/>
        </w:tabs>
        <w:numPr>
          <w:ilvl w:val="1"/>
          <w:numId w:val="1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współpracy z Partnerem wiodącym przy podejmowaniu działań naprawczych lub przy wskazaniu sposobu wykorzystania rekomendacji, wynikających z informacji pokontrolnej wydawanej przez Instytucję Zarządzającą lub inne uprawnione do kontroli podmioty.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left="860" w:hanging="419"/>
        <w:spacing w:after="0" w:line="225" w:lineRule="auto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10)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współpracy z podmiotami zewnętrznymi, realizującymi badanie ewaluacyjne na zlecenie Instytucji Zarządzającej poprzez udzielanie każdorazowo na wniosek tych podmiotów lub Partnera wiodącego dokumentów i informacji na temat realizacji Projektu, niezbędnych do przeprowadzenia badania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ewaluacyjnego;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860" w:hanging="426"/>
        <w:spacing w:after="0" w:line="218" w:lineRule="auto"/>
        <w:tabs>
          <w:tab w:leader="none" w:pos="860" w:val="left"/>
        </w:tabs>
        <w:numPr>
          <w:ilvl w:val="1"/>
          <w:numId w:val="1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informowania uczestników Projektu o pochodzeniu środków przeznaczonych na realizację zadań realizowanych na mocy umowy;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1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udzielania zamówień w ramach Projektu zgodnie z zasadami obowiązującymi w danej jednostce;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1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gromadzenia i archiwizacji dokumentacji Projektu w terminach określonych w umowie;</w:t>
      </w:r>
    </w:p>
    <w:p>
      <w:pPr>
        <w:spacing w:after="0" w:line="16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60" w:hanging="426"/>
        <w:spacing w:after="0" w:line="225" w:lineRule="auto"/>
        <w:tabs>
          <w:tab w:leader="none" w:pos="860" w:val="left"/>
        </w:tabs>
        <w:numPr>
          <w:ilvl w:val="1"/>
          <w:numId w:val="1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zawarcia z Partnerem wiodącym, na jego wniosek, odrębnej umowy przeniesienia autorskich praw majątkowych do utworów wytworzonych w ramach Projektu, z jednoczesnym udzieleniem licencji na rzecz Partnera wiodącego na korzystanie z ww. utworów.</w:t>
      </w:r>
    </w:p>
    <w:p>
      <w:pPr>
        <w:spacing w:after="0" w:line="12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0"/>
          <w:numId w:val="1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umowy zobowiązane są do realizacji projektu w oparciu o jego zakres rzeczowy określony we Wniosku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720"/>
        <w:spacing w:after="0" w:line="225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zgodnie z Regionalnym Programem Operacyjnym Województwa Mazowieckiego na lata 2014-2020 i Szczegółowym Opisem Osi Priorytetowych RPO RPO WM 2014-2020, które są dostępne na stronie internetowej RPO WM 2014-2020 </w:t>
      </w:r>
      <w:hyperlink r:id="rId13">
        <w:r>
          <w:rPr>
            <w:rFonts w:ascii="Calibri" w:cs="Calibri" w:eastAsia="Calibri" w:hAnsi="Calibri"/>
            <w:sz w:val="22"/>
            <w:szCs w:val="22"/>
            <w:u w:val="single" w:color="auto"/>
            <w:color w:val="auto"/>
          </w:rPr>
          <w:t xml:space="preserve">http://www.funduszedlamazowsza.eu/,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>regulaminem konkursu.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firstLine="6"/>
        <w:spacing w:after="0" w:line="219" w:lineRule="auto"/>
        <w:tabs>
          <w:tab w:leader="none" w:pos="244" w:val="left"/>
        </w:tabs>
        <w:numPr>
          <w:ilvl w:val="0"/>
          <w:numId w:val="1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oświadczają, że zapoznały się z treścią Regulaminu Konkursu nr RPMA.10.01.01-IP.01-14-061/17, Wniosku i Wytycznych i zobowiązują się do ich stosowania.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 6.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Organizacja wewnętrzna Partnerstwa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720" w:hanging="354"/>
        <w:spacing w:after="0" w:line="218" w:lineRule="auto"/>
        <w:tabs>
          <w:tab w:leader="none" w:pos="720" w:val="left"/>
        </w:tabs>
        <w:numPr>
          <w:ilvl w:val="0"/>
          <w:numId w:val="1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Powołana zostanie Grupa Sterująca (GS), która będzie nadzorowała współpracę partnerską oraz prawidłową realizację projektu i osiąganie założonych wskaźników.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720" w:hanging="354"/>
        <w:spacing w:after="0" w:line="225" w:lineRule="auto"/>
        <w:tabs>
          <w:tab w:leader="none" w:pos="720" w:val="left"/>
        </w:tabs>
        <w:numPr>
          <w:ilvl w:val="0"/>
          <w:numId w:val="1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Grupa Sterująca podejmuje decyzje dotyczące: zobowiązań finansowych, zatrudniania personelu projektu, zmian we Wniosku. Decyzje podejmowane będą jednomyślnie, na drodze konsensusu. Każda istotna decyzja zostanie poprzedzona analizą jej skutków oddzielnie dla kobiet i mężczyzn (zgodnie z Deklaracją Pekińską ONZ).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4" w:name="page5"/>
    <w:bookmarkEnd w:id="4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20" w:hanging="354"/>
        <w:spacing w:after="0" w:line="218" w:lineRule="auto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Spotkania Grupy Sterującej będą odbywały się nie rzadziej niż raz na kwartał, podczas których personel projektu przedkłada: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080" w:hanging="353"/>
        <w:spacing w:after="0"/>
        <w:tabs>
          <w:tab w:leader="none" w:pos="1080" w:val="left"/>
        </w:tabs>
        <w:numPr>
          <w:ilvl w:val="1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raporty z monitoringu;</w:t>
      </w:r>
    </w:p>
    <w:p>
      <w:pPr>
        <w:ind w:left="1080" w:hanging="353"/>
        <w:spacing w:after="0"/>
        <w:tabs>
          <w:tab w:leader="none" w:pos="1080" w:val="left"/>
        </w:tabs>
        <w:numPr>
          <w:ilvl w:val="1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informacje o bieżących sprawach dotyczących realizacji projektu;</w:t>
      </w:r>
    </w:p>
    <w:p>
      <w:pPr>
        <w:spacing w:after="0" w:line="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080" w:hanging="353"/>
        <w:spacing w:after="0"/>
        <w:tabs>
          <w:tab w:leader="none" w:pos="1080" w:val="left"/>
        </w:tabs>
        <w:numPr>
          <w:ilvl w:val="1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informacje o wszystkich zagrożeniach, w tym w szczególności o realizacji wskaźników produktu i rezultatu.</w:t>
      </w:r>
    </w:p>
    <w:p>
      <w:pPr>
        <w:spacing w:after="0" w:line="19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Ze spotkań GS sporządzona zostanie pisemna notatka podpisana przez wszystkich członków.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 w:line="218" w:lineRule="auto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razie konieczności Grupa Sterująca zostaje zwołana na spotkaniach nadzwyczajnych, podczas których rozwiązywane będą sprawy pilne.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 w:line="218" w:lineRule="auto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Koordynator/ka projektu cyklicznie, raz na kwartał, sporządzi pisemny Raport z monitoringu i ewaluacji, oceniający stopień realizacji wskaźników i jakości zajęć, który zostanie zaprezentowany Grupie Sterującej.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720" w:hanging="354"/>
        <w:spacing w:after="0" w:line="225" w:lineRule="auto"/>
        <w:tabs>
          <w:tab w:leader="none" w:pos="720" w:val="left"/>
        </w:tabs>
        <w:numPr>
          <w:ilvl w:val="0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posiadają wprowadzone procedury zapewniające prawidłową realizację i dokumentowanie projektu: Polityka bezpieczeństwa i instrukcja przetwarzania danych osobowych w formie elektronicznej, Partner wiodący dodatkowo: Procedurę obiegu dokumentów, Politykę rachunkowości, w tym instrukcję kancelaryjną.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2"/>
          <w:numId w:val="1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Odpowiedzialność Stron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360" w:hanging="354"/>
        <w:spacing w:after="0" w:line="219" w:lineRule="auto"/>
        <w:tabs>
          <w:tab w:leader="none" w:pos="36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ponoszą wyłączną odpowiedzialność za wszystkie czynności związane z realizacją powierzonych im zadań, w tym odpowiedzialność za szkody/straty przez nie poniesione.</w:t>
      </w:r>
    </w:p>
    <w:p>
      <w:pPr>
        <w:spacing w:after="0" w:line="18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right="240" w:hanging="354"/>
        <w:spacing w:after="0" w:line="218" w:lineRule="auto"/>
        <w:tabs>
          <w:tab w:leader="none" w:pos="360" w:val="left"/>
        </w:tabs>
        <w:numPr>
          <w:ilvl w:val="0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Jeżeli na podstawie wniosków o płatność lub czynności kontrolnych uprawnionych organów zostanie stwierdzone, że dofinansowanie jest przez Partnera:</w:t>
      </w:r>
    </w:p>
    <w:p>
      <w:pPr>
        <w:ind w:left="900" w:hanging="534"/>
        <w:spacing w:after="0"/>
        <w:tabs>
          <w:tab w:leader="none" w:pos="900" w:val="left"/>
        </w:tabs>
        <w:numPr>
          <w:ilvl w:val="1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wykorzystane niezgodnie z przeznaczeniem,</w:t>
      </w:r>
    </w:p>
    <w:p>
      <w:pPr>
        <w:ind w:left="900" w:hanging="534"/>
        <w:spacing w:after="0"/>
        <w:tabs>
          <w:tab w:leader="none" w:pos="900" w:val="left"/>
        </w:tabs>
        <w:numPr>
          <w:ilvl w:val="1"/>
          <w:numId w:val="1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pobrane nienależnie lub w nadmiernej wysokości,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360" w:right="160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wzywa Partnera do zwrotu całości lub części dofinansowania, w tym zarówno niekwalifikowanych kosztów bezpośrednich, jak również niekwalifikowanych kosztów pośrednich, wraz z odsetkami w wysokości określonej jak dla zaległości podatkowych liczonymi od dnia przekazania środków na konto Partnera lub do wyrażenia zgody na pomniejszenie wypłaty kolejnej należnej mu transzy dofinansowania.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jc w:val="both"/>
        <w:ind w:left="36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stwierdzenia niekwalifikowalności części dofinansowania w ramach zadań wykonywanych przez Partnera wiodącego, Partner nie ponosi żadnej odpowiedzialności, w tym finansowej za stwierdzone nieprawidłowości (nie wpływa to na kwotę kosztów pośrednich należnych partnerowi).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0"/>
          <w:numId w:val="1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8.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Zagadnienia finansowe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440" w:hanging="434"/>
        <w:spacing w:after="0" w:line="225" w:lineRule="auto"/>
        <w:tabs>
          <w:tab w:leader="none" w:pos="440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Środki finansowe przekazywane Partnerowi przez Partnera wiodącego stanowią dofinansowanie wydatków ponoszonych przez Partnera w związku z wykonaniem zadań określonych w niniejszej umowie, a nie świadczeniem usług na rzecz Partnera wiodącego.</w:t>
      </w:r>
    </w:p>
    <w:p>
      <w:pPr>
        <w:spacing w:after="0" w:line="17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nie może przeznaczać środków finansowych, o których mowa w ust. 1 na cele inne niż związane z Projektem, w szczególności na tymczasowe finansowanie swojej podstawowej, poza projektowej działalności.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uzgadniają następujący podział środków finansowych na realizację Projektu w ramach kwoty dofinansowania Projektu w łącznej kwocie nie większej niż …………………………… zł: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9"/>
        <w:spacing w:after="0"/>
        <w:tabs>
          <w:tab w:leader="none" w:pos="860" w:val="left"/>
        </w:tabs>
        <w:numPr>
          <w:ilvl w:val="1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 realizację zadań Partnera wiodącego w łącznej kwocie nie większej niż: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440" w:hanging="353"/>
        <w:spacing w:after="0"/>
        <w:tabs>
          <w:tab w:leader="none" w:pos="1440" w:val="left"/>
        </w:tabs>
        <w:numPr>
          <w:ilvl w:val="3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……………………….zł na wydatki bezpośrednie;</w:t>
      </w:r>
    </w:p>
    <w:p>
      <w:pPr>
        <w:spacing w:after="0" w:line="11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440" w:hanging="353"/>
        <w:spacing w:after="0"/>
        <w:tabs>
          <w:tab w:leader="none" w:pos="1440" w:val="left"/>
        </w:tabs>
        <w:numPr>
          <w:ilvl w:val="3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………………………. zł na koszty pośrednie.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9"/>
        <w:spacing w:after="0"/>
        <w:tabs>
          <w:tab w:leader="none" w:pos="860" w:val="left"/>
        </w:tabs>
        <w:numPr>
          <w:ilvl w:val="1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 realizację zadań Partnera w łącznej kwocie nie większej niż: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280" w:hanging="356"/>
        <w:spacing w:after="0"/>
        <w:tabs>
          <w:tab w:leader="none" w:pos="1280" w:val="left"/>
        </w:tabs>
        <w:numPr>
          <w:ilvl w:val="2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……………………….. zł na wydatki bezpośrednie;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280" w:hanging="356"/>
        <w:spacing w:after="0"/>
        <w:tabs>
          <w:tab w:leader="none" w:pos="1280" w:val="left"/>
        </w:tabs>
        <w:numPr>
          <w:ilvl w:val="2"/>
          <w:numId w:val="2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…………………………zł na koszty pośrednie.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5" w:name="page6"/>
    <w:bookmarkEnd w:id="5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Budżet Partnera wiodącego i Partnera w ramach Projektu, uwzględniający podział środków finansowych na realizację zadań powierzonych Partnerowi wiodącemu i Partnerowi, stanowi załącznik nr 2 do umowy.</w:t>
      </w:r>
    </w:p>
    <w:p>
      <w:pPr>
        <w:spacing w:after="0" w:line="17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zobowiązuje się do wniesienia wkładu własnego zgodnie z wysokością wskazaną w załączniku, o którym mowa w ust. 4.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przekazuje Partnerowi środki na finansowanie kosztów realizacji zadań, o których mowa w § 4, w formie zaliczki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.</w:t>
      </w:r>
    </w:p>
    <w:p>
      <w:pPr>
        <w:spacing w:after="0" w:line="17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3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W przypadku, gdy środki przekazywane </w:t>
      </w:r>
      <w:r>
        <w:rPr>
          <w:rFonts w:ascii="Calibri" w:cs="Calibri" w:eastAsia="Calibri" w:hAnsi="Calibri"/>
          <w:sz w:val="24"/>
          <w:szCs w:val="24"/>
          <w:color w:val="auto"/>
        </w:rPr>
        <w:t>……………………………………………..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Odsetki bankowe od środków na wyodrębnionym rachunku Partnera stanowią dochód budżetu państwa i podlegają zwrotowi, o ile przepisy odrębne nie stanowią inaczej.</w:t>
      </w:r>
    </w:p>
    <w:p>
      <w:pPr>
        <w:spacing w:after="0" w:line="17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8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Środki na finansowanie kosztów realizacji zadań przekazywane są zgodnie z harmonogramem dokonywania wydatków (harmonogramem płatności), którego wzór stanowi załącznik nr 3 do niniejszej umowy. Harmonogram zostanie uzupełniony po akceptacji harmonogramu płatności przez Instytucję Zarządzającą. Aktualizacja harmonogramu nie wymaga formy aneksu do niniejszej umowy.</w:t>
      </w:r>
    </w:p>
    <w:p>
      <w:pPr>
        <w:spacing w:after="0" w:line="12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oceny kwalifikowalności poniesionych wydatków stosuje się wersję Wytycznych dotyczących kwalifikowalności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/>
        <w:spacing w:after="0" w:line="210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wydatków w ramach Regionalnego Programu Operacyjnego Województwa Mazowieckiego na lata 2014-2020, obowiązującą w dniu poniesienia wydatku.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1</w:t>
      </w:r>
    </w:p>
    <w:p>
      <w:pPr>
        <w:spacing w:after="0" w:line="13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32" w:lineRule="auto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Pierwsza transza zaliczki wypłacana jest Partnerowi w wysokości i terminie określonym w harmonogramie dokonywania wydatków (harmonogramie płatności), o którym mowa w ust. 8, pod warunkiem dostępności środków na koncie Partnera Wiodącego. Transze przekazywane są po przedstawieniu przez Partnera Partnerowi wiodącemu wniosku o zaliczkę. Partner wiodący może wstrzymać przekazywanie płatności na rzecz Partnera, gdy zachodzi uzasadnione podejrzenie powstania rażących nieprawidłowości w zakresie realizowanych zadań lub na wniosek Instytucji Zarządzającej.</w:t>
      </w:r>
    </w:p>
    <w:p>
      <w:pPr>
        <w:spacing w:after="0" w:line="12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ustalają następujące warunki sprawozdawczości między partnerami: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60" w:hanging="426"/>
        <w:spacing w:after="0" w:line="229" w:lineRule="auto"/>
        <w:tabs>
          <w:tab w:leader="none" w:pos="860" w:val="left"/>
        </w:tabs>
        <w:numPr>
          <w:ilvl w:val="1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zobowiązany jest w terminie 4 dni roboczych od zakończenia okresu rozliczeniowego do przedstawienia dokumentów, na podstawie których Partner przygotowuje wniosek o płatność do Instytucji Zarządzającej w terminie zgodnym z zapisami wynikającymi z umowy o dofinansowanie. Partner wiodący zobowiązuje się dostarczyć w formie elektronicznej następujące dokumenty: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133"/>
        <w:spacing w:after="0"/>
        <w:tabs>
          <w:tab w:leader="none" w:pos="860" w:val="left"/>
        </w:tabs>
        <w:numPr>
          <w:ilvl w:val="2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dokumenty potwierdzające osiągnięcie rezultatów, wykonanie produktów lub zrealizowanie działań, zgodnie z</w:t>
      </w:r>
    </w:p>
    <w:p>
      <w:pPr>
        <w:ind w:left="72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Wnioskiem,</w:t>
      </w:r>
    </w:p>
    <w:p>
      <w:pPr>
        <w:ind w:left="840" w:hanging="113"/>
        <w:spacing w:after="0"/>
        <w:tabs>
          <w:tab w:leader="none" w:pos="840" w:val="left"/>
        </w:tabs>
        <w:numPr>
          <w:ilvl w:val="2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wyciąg z konta projektowego z danego okresu rozliczeniowego,</w:t>
      </w:r>
    </w:p>
    <w:p>
      <w:pPr>
        <w:ind w:left="840" w:hanging="113"/>
        <w:spacing w:after="0"/>
        <w:tabs>
          <w:tab w:leader="none" w:pos="840" w:val="left"/>
        </w:tabs>
        <w:numPr>
          <w:ilvl w:val="2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opis postępu rzeczowego dotyczącego zadań realizowanych przez Partnera,</w:t>
      </w:r>
    </w:p>
    <w:p>
      <w:pPr>
        <w:ind w:left="840" w:hanging="113"/>
        <w:spacing w:after="0"/>
        <w:tabs>
          <w:tab w:leader="none" w:pos="840" w:val="left"/>
        </w:tabs>
        <w:numPr>
          <w:ilvl w:val="2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inne niezbędne dokumenty wymagane przez Instytucję Zarządzającą.</w:t>
      </w:r>
    </w:p>
    <w:p>
      <w:pPr>
        <w:spacing w:after="0" w:line="19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6"/>
        <w:spacing w:after="0"/>
        <w:tabs>
          <w:tab w:leader="none" w:pos="860" w:val="left"/>
        </w:tabs>
        <w:numPr>
          <w:ilvl w:val="1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zobowiązany jest do przygotowania wniosku o płatność do Instytucji Zarządzającej.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60" w:hanging="426"/>
        <w:spacing w:after="0" w:line="225" w:lineRule="auto"/>
        <w:tabs>
          <w:tab w:leader="none" w:pos="860" w:val="left"/>
        </w:tabs>
        <w:numPr>
          <w:ilvl w:val="1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zobowiązany jest w terminie 2 dni roboczych od otrzymania informacji o konieczności uzupełnienia dokumentów do wniosku o płatność dostarczyć w formie elektronicznej wymagane dokumenty do Partnera, który w terminie 3 roboczych przygotowuje uzupełnienia do wniosku o płatność.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2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Wszystkie płatności dokonywane w związku z realizacją Projektu pomiędzy Partnerem wiodącym i Partnerem, są</w:t>
      </w:r>
    </w:p>
    <w:p>
      <w:pPr>
        <w:ind w:left="440"/>
        <w:spacing w:after="0" w:line="22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dokonywane za pośrednictwem wyodrębnionych dla Projektu rachunków bankowych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2</w:t>
      </w:r>
      <w:r>
        <w:rPr>
          <w:rFonts w:ascii="Calibri" w:cs="Calibri" w:eastAsia="Calibri" w:hAnsi="Calibri"/>
          <w:sz w:val="22"/>
          <w:szCs w:val="22"/>
          <w:color w:val="auto"/>
        </w:rPr>
        <w:t>. Wszystkie płatności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474345</wp:posOffset>
                </wp:positionV>
                <wp:extent cx="18288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37.35pt" to="144.3pt,37.35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23" w:lineRule="auto"/>
        <w:tabs>
          <w:tab w:leader="none" w:pos="110" w:val="left"/>
        </w:tabs>
        <w:numPr>
          <w:ilvl w:val="0"/>
          <w:numId w:val="22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 zastrzeżeniem, że do oceny prawidłowości wszystkich umów zawartych w ramach realizacji projektu w wyniku przeprowadzonych postępowań, stosuje się wersję Wytycznych dotyczących kwalifikowalności wydatków w ramach Regionalnego Programu Operacyjnego Województwa Mazowieckiego na lata 2014-2020, obowiązującą w dniu wszczęcia postępowania, które zakończyło się podpisaniem danej umowy. Wszczęcie postępowania jest tożsame z publikacją ogłoszenia o wszczęciu postępowania, lub zamiarze udzielenia zamówienia publicznego, o których mowa w wytycznych dotyczących udzielania zamówień publicznych</w:t>
      </w:r>
      <w:r>
        <w:rPr>
          <w:rFonts w:ascii="Calibri" w:cs="Calibri" w:eastAsia="Calibri" w:hAnsi="Calibri"/>
          <w:sz w:val="20"/>
          <w:szCs w:val="20"/>
          <w:u w:val="single" w:color="auto"/>
          <w:color w:val="0563C1"/>
        </w:rPr>
        <w:t>,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lub o prowadzonym naborze pracowników na podstawie stosunku pracy, pod warunkiem że Partner udokumentuje publikację ogłoszenia o wszczęciu postępowania.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6" w:name="page7"/>
    <w:bookmarkEnd w:id="6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dokonywane w związku z realizacją umowy powinny być dokonywane za pośrednictwem wyodrębnionych dla Projektu rachunków bankowych.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jc w:val="both"/>
        <w:ind w:left="440" w:hanging="434"/>
        <w:spacing w:after="0" w:line="229" w:lineRule="auto"/>
        <w:tabs>
          <w:tab w:leader="none" w:pos="440" w:val="left"/>
        </w:tabs>
        <w:numPr>
          <w:ilvl w:val="0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związku z realizacją wniosku ryczałtowego Partner nie jest zobowiązany do przedstawiania Partnerowi wiodącemu faktur, rachunków lub innych dokumentów księgowych potwierdzających poniesienie danego wydatków (zarówno w zakresie kosztów bezpośrednich, jak również pośrednich). Potwierdzenie poniesienia wydatków stanowią dokumenty wymienione we wniosku o dofinansowanie we wskaźnikach produktu i rezultatu.</w:t>
      </w:r>
    </w:p>
    <w:p>
      <w:pPr>
        <w:spacing w:after="0" w:line="1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/>
        <w:tabs>
          <w:tab w:leader="none" w:pos="440" w:val="left"/>
        </w:tabs>
        <w:numPr>
          <w:ilvl w:val="0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zobowiązane są do ujawniania wszelkich dochodów, które powstają w związku z realizacją Projektu.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434"/>
        <w:spacing w:after="0" w:line="225" w:lineRule="auto"/>
        <w:tabs>
          <w:tab w:leader="none" w:pos="440" w:val="left"/>
        </w:tabs>
        <w:numPr>
          <w:ilvl w:val="0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stwierdzenia nieprawidłowego wydatkowania środków przez Partnera, środki podlegają zwrotowi wraz z odsetkami w wysokości określonej jak dla zaległości podatkowych liczonymi od dnia przekazania środków na konto Partnera.</w:t>
      </w:r>
    </w:p>
    <w:p>
      <w:pPr>
        <w:spacing w:after="0" w:line="1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ma obowiązek zachowania zasady trwałości projektu, o której mowa w art. 71 rozporządzenia Parlamentu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360"/>
        <w:spacing w:after="0" w:line="232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>
      <w:pPr>
        <w:spacing w:after="0" w:line="12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400" w:hanging="170"/>
        <w:spacing w:after="0"/>
        <w:tabs>
          <w:tab w:leader="none" w:pos="5400" w:val="left"/>
        </w:tabs>
        <w:numPr>
          <w:ilvl w:val="1"/>
          <w:numId w:val="2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Ochrona danych osobowych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przetwarza dane osobowe dotyczące uczestników projektu w celu wykonania umowy w zakresie powierzonym mu do przetwarzania przez Partnera wiodącego, zgodnie z ustawą z dnia 10.05.2018 r. o ochronie danych osobowych.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2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Przedstawiciele stron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2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bieżącej współpracy przy realizacji Projektu Strony wyznaczyły następujących przedstawicieli: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1"/>
          <w:numId w:val="2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wiodący: …………………………………………………………………………………….</w:t>
      </w:r>
    </w:p>
    <w:p>
      <w:pPr>
        <w:ind w:left="720" w:hanging="354"/>
        <w:spacing w:after="0"/>
        <w:tabs>
          <w:tab w:leader="none" w:pos="720" w:val="left"/>
        </w:tabs>
        <w:numPr>
          <w:ilvl w:val="1"/>
          <w:numId w:val="2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Partner:</w:t>
      </w:r>
    </w:p>
    <w:p>
      <w:pPr>
        <w:ind w:left="5540" w:hanging="365"/>
        <w:spacing w:after="0"/>
        <w:tabs>
          <w:tab w:leader="none" w:pos="5540" w:val="left"/>
        </w:tabs>
        <w:numPr>
          <w:ilvl w:val="2"/>
          <w:numId w:val="2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§ 11.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Obowiązki informacyjne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360" w:hanging="354"/>
        <w:spacing w:after="0" w:line="217" w:lineRule="auto"/>
        <w:tabs>
          <w:tab w:leader="none" w:pos="360" w:val="left"/>
        </w:tabs>
        <w:numPr>
          <w:ilvl w:val="0"/>
          <w:numId w:val="2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 udostępnia Partnerowi obowiązujące logotypy Regionalnego Programu Operacyjnego Województwa Mazowieckiego na lata 2014-2020 do oznaczania Projektu.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hanging="369"/>
        <w:spacing w:after="0" w:line="234" w:lineRule="auto"/>
        <w:tabs>
          <w:tab w:leader="none" w:pos="440" w:val="left"/>
        </w:tabs>
        <w:numPr>
          <w:ilvl w:val="1"/>
          <w:numId w:val="2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Partner jest zobowiązany do wypełniania obowiązków informacyjnych i promocyjnych zgodnie z zapisami Rozporządzenia ogólnego i Rozporządzenia wykonawczego KE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oraz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Wytycznych w zakresie informacji 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promocji programów operacyjnych polityki spójności na lata 2014-2020 </w:t>
      </w:r>
      <w:r>
        <w:rPr>
          <w:rFonts w:ascii="Calibri" w:cs="Calibri" w:eastAsia="Calibri" w:hAnsi="Calibri"/>
          <w:sz w:val="22"/>
          <w:szCs w:val="22"/>
          <w:color w:val="auto"/>
        </w:rPr>
        <w:t>a w szczególności do: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2"/>
          <w:numId w:val="2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oznaczania  znakiem  Unii  Europejskiej,  znakiem  Funduszy  Europejskich,  oficjalnym  logo  promocyjnym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Województwa, a w przypadku materiałów w wersji pełno kolorowej - także barwami Rzeczypospolitej Polskiej:</w:t>
      </w:r>
    </w:p>
    <w:p>
      <w:pPr>
        <w:ind w:left="720"/>
        <w:spacing w:after="0" w:line="238" w:lineRule="auto"/>
        <w:tabs>
          <w:tab w:leader="none" w:pos="1940" w:val="left"/>
          <w:tab w:leader="none" w:pos="3080" w:val="left"/>
          <w:tab w:leader="none" w:pos="4560" w:val="left"/>
          <w:tab w:leader="none" w:pos="5380" w:val="left"/>
          <w:tab w:leader="none" w:pos="6940" w:val="left"/>
          <w:tab w:leader="none" w:pos="7160" w:val="left"/>
          <w:tab w:leader="none" w:pos="8620" w:val="left"/>
          <w:tab w:leader="none" w:pos="98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a)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wszystkich</w:t>
        <w:tab/>
        <w:t>prowadzonych</w:t>
        <w:tab/>
        <w:t>działań</w:t>
        <w:tab/>
        <w:t>informacyjnych</w:t>
        <w:tab/>
        <w:t>i</w:t>
        <w:tab/>
        <w:t>promocyjnych</w:t>
        <w:tab/>
        <w:t>dotyczących</w:t>
        <w:tab/>
        <w:t>projektu;</w:t>
      </w:r>
    </w:p>
    <w:p>
      <w:pPr>
        <w:ind w:left="1520" w:hanging="793"/>
        <w:spacing w:after="0"/>
        <w:tabs>
          <w:tab w:leader="none" w:pos="1520" w:val="left"/>
        </w:tabs>
        <w:numPr>
          <w:ilvl w:val="0"/>
          <w:numId w:val="2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wszystkich dokumentów związanych z realizacją projektu, podawanych do wiadomości publicznej;</w:t>
      </w:r>
    </w:p>
    <w:p>
      <w:pPr>
        <w:ind w:left="1180" w:hanging="453"/>
        <w:spacing w:after="0"/>
        <w:tabs>
          <w:tab w:leader="none" w:pos="1180" w:val="left"/>
        </w:tabs>
        <w:numPr>
          <w:ilvl w:val="0"/>
          <w:numId w:val="2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wszystkich dokumentów i materiałów dla osób i podmiotów uczestniczących w projekcie;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208280</wp:posOffset>
                </wp:positionV>
                <wp:extent cx="68427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6.4pt" to="539.1pt,16.4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04" w:lineRule="auto"/>
        <w:tabs>
          <w:tab w:leader="none" w:pos="144" w:val="left"/>
        </w:tabs>
        <w:numPr>
          <w:ilvl w:val="0"/>
          <w:numId w:val="28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Postanowienie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7" w:name="page8"/>
    <w:bookmarkEnd w:id="7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 w:right="60" w:hanging="9"/>
        <w:spacing w:after="0" w:line="218" w:lineRule="auto"/>
        <w:tabs>
          <w:tab w:leader="none" w:pos="684" w:val="left"/>
        </w:tabs>
        <w:numPr>
          <w:ilvl w:val="1"/>
          <w:numId w:val="2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umieszczania przynajmniej jednego plakatu o minimalnym formacie A3 lub odpowiednio tablicy informacyjnej, lub pamiątkowej w miejscu realizacji projektu;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229"/>
        <w:spacing w:after="0"/>
        <w:tabs>
          <w:tab w:leader="none" w:pos="660" w:val="left"/>
        </w:tabs>
        <w:numPr>
          <w:ilvl w:val="1"/>
          <w:numId w:val="2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umieszczania opisu projektu na stronie internetowej, w przypadku posiadania strony internetowej;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right="60" w:hanging="9"/>
        <w:spacing w:after="0" w:line="218" w:lineRule="auto"/>
        <w:tabs>
          <w:tab w:leader="none" w:pos="680" w:val="left"/>
        </w:tabs>
        <w:numPr>
          <w:ilvl w:val="1"/>
          <w:numId w:val="2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przekazywania osobom i podmiotom uczestniczącym w projekcie informacji, że projekt uzyskał dofinansowanie przynajmniej w formie odpowiedniego oznakowania;</w:t>
      </w:r>
    </w:p>
    <w:p>
      <w:pPr>
        <w:spacing w:after="0" w:line="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60" w:hanging="229"/>
        <w:spacing w:after="0"/>
        <w:tabs>
          <w:tab w:leader="none" w:pos="660" w:val="left"/>
        </w:tabs>
        <w:numPr>
          <w:ilvl w:val="1"/>
          <w:numId w:val="2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dokumentowania działań informacyjnych i promocyjnych prowadzonych w ramach projektu.</w:t>
      </w:r>
    </w:p>
    <w:p>
      <w:pPr>
        <w:spacing w:after="0" w:line="245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right="60" w:hanging="369"/>
        <w:spacing w:after="0" w:line="225" w:lineRule="auto"/>
        <w:tabs>
          <w:tab w:leader="none" w:pos="440" w:val="left"/>
        </w:tabs>
        <w:numPr>
          <w:ilvl w:val="0"/>
          <w:numId w:val="3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Podręcznik Wnioskodawcy i Beneficjenta programów polityki spójności 2014-2020 w zakresie informacji i promocji, Kartę wizualizacji Regionalnego Programu Operacyjnego Województwa Mazowieckiego na lata 2014-2020 </w:t>
      </w:r>
      <w:r>
        <w:rPr>
          <w:rFonts w:ascii="Calibri" w:cs="Calibri" w:eastAsia="Calibri" w:hAnsi="Calibri"/>
          <w:sz w:val="22"/>
          <w:szCs w:val="22"/>
          <w:color w:val="auto"/>
        </w:rPr>
        <w:t>oraz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Poradnik z zakresu obowiązków informacyjnych, zamieszczone na stronie internetowej Instytucji Zarządzającej RPO</w:t>
      </w:r>
    </w:p>
    <w:p>
      <w:pPr>
        <w:spacing w:after="0" w:line="5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right="60"/>
        <w:spacing w:after="0" w:line="219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WM, </w:t>
      </w:r>
      <w:r>
        <w:rPr>
          <w:rFonts w:ascii="Calibri" w:cs="Calibri" w:eastAsia="Calibri" w:hAnsi="Calibri"/>
          <w:sz w:val="22"/>
          <w:szCs w:val="22"/>
          <w:color w:val="auto"/>
        </w:rPr>
        <w:t>można stosować pomocniczo podczas realizacji projektu i wypełniania obowiązków w zakresie informacji i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promocji.</w:t>
      </w:r>
    </w:p>
    <w:p>
      <w:pPr>
        <w:spacing w:after="0" w:line="24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440" w:right="60" w:hanging="369"/>
        <w:spacing w:after="0" w:line="229" w:lineRule="auto"/>
        <w:tabs>
          <w:tab w:leader="none" w:pos="440" w:val="left"/>
        </w:tabs>
        <w:numPr>
          <w:ilvl w:val="0"/>
          <w:numId w:val="3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 potrzeby informacji i promocji Programu i Europejskiego Funduszu Społecznego, Partner udostępnia Partnerowi Wiodącemu wszystkie utwory informacyjno-promocyjne powstałe w trakcie realizacji projektu w postaci m.in.: materiałów zdjęciowych, materiałów audio-wizualnych i prezentacji dotyczących Projektu oraz udziela nieodpłatnie licencji niewyłącznej, obejmującej prawo do korzystania z nich bezterminowo na terytorium Unii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2640" w:val="left"/>
          <w:tab w:leader="none" w:pos="3920" w:val="left"/>
          <w:tab w:leader="none" w:pos="5760" w:val="left"/>
          <w:tab w:leader="none" w:pos="8180" w:val="left"/>
          <w:tab w:leader="none" w:pos="95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Europejskiej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w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zakresie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następujących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pól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eksploatacji:</w:t>
      </w:r>
    </w:p>
    <w:p>
      <w:pPr>
        <w:ind w:left="780" w:hanging="349"/>
        <w:spacing w:after="0"/>
        <w:tabs>
          <w:tab w:leader="none" w:pos="780" w:val="left"/>
        </w:tabs>
        <w:numPr>
          <w:ilvl w:val="0"/>
          <w:numId w:val="3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zakresie utrwalania i zwielokrotniania utworu – wytwarzanie określoną techniką egzemplarzy utworu, w tym</w:t>
      </w:r>
    </w:p>
    <w:p>
      <w:pPr>
        <w:ind w:left="440"/>
        <w:spacing w:after="0" w:line="238" w:lineRule="auto"/>
        <w:tabs>
          <w:tab w:leader="none" w:pos="1660" w:val="left"/>
          <w:tab w:leader="none" w:pos="3060" w:val="left"/>
          <w:tab w:leader="none" w:pos="4900" w:val="left"/>
          <w:tab w:leader="none" w:pos="5940" w:val="left"/>
          <w:tab w:leader="none" w:pos="7820" w:val="left"/>
          <w:tab w:leader="none" w:pos="868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techniką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drukarską,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reprograficzną,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zapisu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magnetycznego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oraz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techniką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cyfrową,</w:t>
      </w:r>
    </w:p>
    <w:p>
      <w:pPr>
        <w:ind w:left="720" w:hanging="289"/>
        <w:spacing w:after="0"/>
        <w:tabs>
          <w:tab w:leader="none" w:pos="720" w:val="left"/>
        </w:tabs>
        <w:numPr>
          <w:ilvl w:val="0"/>
          <w:numId w:val="3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zakresie obrotu oryginałem albo egzemplarzami, na których utwór utrwalono – wprowadzanie do obrotu,</w:t>
      </w:r>
    </w:p>
    <w:p>
      <w:pPr>
        <w:ind w:left="440"/>
        <w:spacing w:after="0"/>
        <w:tabs>
          <w:tab w:leader="none" w:pos="2520" w:val="left"/>
          <w:tab w:leader="none" w:pos="4040" w:val="left"/>
          <w:tab w:leader="none" w:pos="5820" w:val="left"/>
          <w:tab w:leader="none" w:pos="7900" w:val="left"/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użyczenie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lub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najem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oryginału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albo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egzemplarzy,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40" w:right="60" w:hanging="9"/>
        <w:spacing w:after="0" w:line="229" w:lineRule="auto"/>
        <w:tabs>
          <w:tab w:leader="none" w:pos="736" w:val="left"/>
        </w:tabs>
        <w:numPr>
          <w:ilvl w:val="0"/>
          <w:numId w:val="3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zakresie rozpowszechniania utworu w sposób inny niż określony w pkt. 2 – publiczne wykonanie, wystawienie, wyświetlenie, odtworzenie oraz nadawanie i reemitowanie, a także publiczne udostępnianie utworu w taki sposób, aby każdy mógł mieć do niego dostęp w miejscu i w czasie przez siebie wybranym w tym w sieci Internet.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3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Obowiązki w zakresie przechowywania dokumentacji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360" w:hanging="354"/>
        <w:spacing w:after="0" w:line="233" w:lineRule="auto"/>
        <w:tabs>
          <w:tab w:leader="none" w:pos="360" w:val="left"/>
        </w:tabs>
        <w:numPr>
          <w:ilvl w:val="0"/>
          <w:numId w:val="3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celu zapewnienia właściwej ścieżki audytu Partner zobowiązuje się do przechowywania i udostępniania dokumentacji związanej z realizacją Projektu w terminie od rozpoczęcia realizacji Projektu do 31 grudnia 2028 roku, w sposób zapewniający dostępność, poufność i bezpieczeństwo, z zastrzeżeniem ust. 2, oraz do informowania Partnera wiodącego o miejscu przechowywania dokumentacji związanej z realizowanym Projektem. Przedmiotowy okres zostaje przerwany w przypadku wszczęcia postępowania administracyjnego lub sądowego dotyczącego wydatków rozliczonych w Projekcie albo na należycie uzasadniony wniosek Komisji Europejskiej, o czym Partner jest informowany pisemnie.</w:t>
      </w:r>
    </w:p>
    <w:p>
      <w:pPr>
        <w:spacing w:after="0" w:line="11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360" w:hanging="354"/>
        <w:spacing w:after="0" w:line="225" w:lineRule="auto"/>
        <w:tabs>
          <w:tab w:leader="none" w:pos="360" w:val="left"/>
        </w:tabs>
        <w:numPr>
          <w:ilvl w:val="0"/>
          <w:numId w:val="3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zmiany miejsca przechowywania dokumentów oraz w przypadku zawieszenia, zaprzestania lub likwidacji przez Partnera działalności, Partner zobowiązuje się niezwłocznie pisemnie poinformować Partnera wiodącego o miejscu przechowywania dokumentów związanych z realizowanym Projektem.</w:t>
      </w:r>
    </w:p>
    <w:p>
      <w:pPr>
        <w:spacing w:after="0" w:line="6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1"/>
          <w:numId w:val="3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Odpowiedzialność cywilna Stron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280"/>
        <w:spacing w:after="0" w:line="22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umowy ponoszą wyłączną odpowiedzialność za wszystkie czynności związane z realizacją przyjętego do realizacji zadania/zadań wobec osób trzecich, w tym odpowiedzialność za straty przez nie poniesione w związku z realizacją zadania/zadań lub w związku z odstąpieniem Stron od umowy.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36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Zmiany w umowie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3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Strony umowy mogą zgłaszać propozycje zmian umowy z zastrzeżeniem ust. 2 - 4.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37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Zmiany w umowie, w tym załączników do umowy, mogą nastąpić wyłącznie po ich uprzednim zaakceptowaniu przez</w:t>
      </w:r>
    </w:p>
    <w:p>
      <w:pPr>
        <w:ind w:left="28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8" w:name="page9"/>
    <w:bookmarkEnd w:id="8"/>
    <w:p>
      <w:pPr>
        <w:spacing w:after="0" w:line="3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80" w:hanging="274"/>
        <w:spacing w:after="0" w:line="229" w:lineRule="auto"/>
        <w:tabs>
          <w:tab w:leader="none" w:pos="280" w:val="left"/>
        </w:tabs>
        <w:numPr>
          <w:ilvl w:val="0"/>
          <w:numId w:val="3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Partnera.</w:t>
      </w:r>
    </w:p>
    <w:p>
      <w:pPr>
        <w:spacing w:after="0" w:line="1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3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Zmiany, o których mowa w ust. 3, nie mogą być niezgodne z postanowieniami umowy o dofinansowanie.</w:t>
      </w:r>
    </w:p>
    <w:p>
      <w:pPr>
        <w:spacing w:after="0" w:line="12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1"/>
          <w:numId w:val="38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15.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Okres obowiązywania umowy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Umowa wchodzi w życie z dniem podpisania, pod warunkiem podpisania umowy o dofinansowanie zawieranej pomiędzy Partnerem wiodącym a Instytucją Zarządzającą na okres obowiązywania umowy o dofinansowanie Projektu.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39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Rozwiązanie umowy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Umowa może zostać rozwiązana przed terminem określonym w umowie o dofinansowanie w następujących przypadkach:</w:t>
      </w:r>
    </w:p>
    <w:p>
      <w:pPr>
        <w:ind w:left="860" w:hanging="429"/>
        <w:spacing w:after="0"/>
        <w:tabs>
          <w:tab w:leader="none" w:pos="860" w:val="left"/>
        </w:tabs>
        <w:numPr>
          <w:ilvl w:val="2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 podstawie porozumienia Stron;</w:t>
      </w:r>
    </w:p>
    <w:p>
      <w:pPr>
        <w:spacing w:after="0" w:line="4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60" w:hanging="429"/>
        <w:spacing w:after="0" w:line="218" w:lineRule="auto"/>
        <w:tabs>
          <w:tab w:leader="none" w:pos="860" w:val="left"/>
        </w:tabs>
        <w:numPr>
          <w:ilvl w:val="2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wystąpienia okoliczności uniemożliwiających dalsze wykonywanie obowiązków wynikających z umowy;</w:t>
      </w:r>
    </w:p>
    <w:p>
      <w:pPr>
        <w:ind w:left="860" w:hanging="429"/>
        <w:spacing w:after="0"/>
        <w:tabs>
          <w:tab w:leader="none" w:pos="860" w:val="left"/>
        </w:tabs>
        <w:numPr>
          <w:ilvl w:val="2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nieuzyskania dofinansowania projektu;</w:t>
      </w:r>
    </w:p>
    <w:p>
      <w:pPr>
        <w:ind w:left="860" w:hanging="429"/>
        <w:spacing w:after="0"/>
        <w:tabs>
          <w:tab w:leader="none" w:pos="860" w:val="left"/>
        </w:tabs>
        <w:numPr>
          <w:ilvl w:val="2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razie rozwiązania umowy o dofinansowanie Projektu;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360" w:hanging="354"/>
        <w:spacing w:after="0" w:line="231" w:lineRule="auto"/>
        <w:tabs>
          <w:tab w:leader="none" w:pos="360" w:val="left"/>
        </w:tabs>
        <w:numPr>
          <w:ilvl w:val="0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naruszenia lub niewywiązywania się z obowiązków wynikających z umowy lub umowy o dofinansowanie Projektu przez Partnera Partner wiodący może wypowiedzieć niniejszą umowę Partnerowi dokonującemu naruszeń lub niewywiązującemu się z tych obowiązków. O zamiarze dokonania wypowiedzenia, o którym mowa w zdaniu poprzedzającym, Partner wiodący informuje Instytucję Zarządzającą. Strony zobowiązują się do podjęcia negocjacji mających na celu zapewnienie dalszej prawidłowej realizacji Projektu, w tym możliwości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firstLine="6"/>
        <w:spacing w:after="0" w:line="218" w:lineRule="auto"/>
        <w:tabs>
          <w:tab w:leader="none" w:pos="461" w:val="left"/>
        </w:tabs>
        <w:numPr>
          <w:ilvl w:val="1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sposobu kontynuacji zadania/zadań powierzonego/ych Partnerowi, z którym na skutek dokonanego wypowiedzenia rozwiązana została umowa.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440" w:hanging="434"/>
        <w:spacing w:after="0" w:line="218" w:lineRule="auto"/>
        <w:tabs>
          <w:tab w:leader="none" w:pos="440" w:val="left"/>
        </w:tabs>
        <w:numPr>
          <w:ilvl w:val="0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może wypowiedzieć umowę Partnerowi wiodącemu w przypadku naruszenia lub niewywiązywania się przez niego z obowiązków wynikających z umowy lub umowy o dofinansowanie Projektu.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3"/>
          <w:numId w:val="40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17.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Postępowanie w sprawach spornych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80" w:hanging="274"/>
        <w:spacing w:after="0"/>
        <w:tabs>
          <w:tab w:leader="none" w:pos="28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Spory mogące wyniknąć w związku z realizacją umowy Strony będą starały się rozwiązać polubownie.</w:t>
      </w:r>
    </w:p>
    <w:p>
      <w:pPr>
        <w:spacing w:after="0" w:line="16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80" w:hanging="274"/>
        <w:spacing w:after="0" w:line="218" w:lineRule="auto"/>
        <w:tabs>
          <w:tab w:leader="none" w:pos="280" w:val="left"/>
        </w:tabs>
        <w:numPr>
          <w:ilvl w:val="0"/>
          <w:numId w:val="4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przypadku niemożności rozstrzygnięcia sporu w trybie określonym w ust. 1, Strony ustalają zgodnie, że spór zostanie poddany pod rozstrzygnięcie sądu powszechnego.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4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18.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Postępowanie w sprawach nieuregulowanych niniejszą umową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sprawach nieuregulowanych umową zastosowanie mają odpowiednie przepisy prawa krajowego i unijnego.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5340" w:hanging="165"/>
        <w:spacing w:after="0"/>
        <w:tabs>
          <w:tab w:leader="none" w:pos="5340" w:val="left"/>
        </w:tabs>
        <w:numPr>
          <w:ilvl w:val="0"/>
          <w:numId w:val="4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19.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Postanowienia końcowe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Umowę sporządzono w 3 jednobrzmiących egzemplarzach, jeden dla Partnera oraz dwa dla Partnera wiodącego, który jeden z przekazanych mu egzemplarzy przedłoży Instytucji Zarządzającej.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326390</wp:posOffset>
            </wp:positionV>
            <wp:extent cx="6842760" cy="5835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Załączniki :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Pełnomocnictwo dla Partnera wiodącego do reprezentowania Partnera</w:t>
      </w:r>
    </w:p>
    <w:p>
      <w:pPr>
        <w:spacing w:after="0" w:line="11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Budżet Projektu z podziałem na Partnera wiodącego i Partnera</w:t>
      </w:r>
    </w:p>
    <w:p>
      <w:pPr>
        <w:spacing w:after="0" w:line="120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Harmonogram dokonywania wydatków (harmonogram płatności)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Podpisy:</w:t>
      </w:r>
    </w:p>
    <w:p>
      <w:pPr>
        <w:sectPr>
          <w:pgSz w:w="11900" w:h="16838" w:orient="portrait"/>
          <w:cols w:equalWidth="0" w:num="1">
            <w:col w:w="10780"/>
          </w:cols>
          <w:pgMar w:left="560" w:top="1440" w:right="56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260" w:space="720"/>
            <w:col w:w="2800"/>
          </w:cols>
          <w:pgMar w:left="560" w:top="1440" w:right="566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 Wiodący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Partner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340" w:space="720"/>
            <w:col w:w="1720"/>
          </w:cols>
          <w:pgMar w:left="560" w:top="1440" w:right="56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sectPr>
      <w:pgSz w:w="11900" w:h="16838" w:orient="portrait"/>
      <w:cols w:equalWidth="0" w:num="1">
        <w:col w:w="10780"/>
      </w:cols>
      <w:pgMar w:left="560" w:top="1440" w:right="56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443A858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§"/>
      <w:numFmt w:val="bullet"/>
      <w:start w:val="1"/>
    </w:lvl>
  </w:abstractNum>
  <w:abstractNum w:abstractNumId="1">
    <w:nsid w:val="2D1D5AE9"/>
    <w:multiLevelType w:val="hybridMultilevel"/>
    <w:lvl w:ilvl="0">
      <w:lvlJc w:val="left"/>
      <w:lvlText w:val="§"/>
      <w:numFmt w:val="bullet"/>
      <w:start w:val="1"/>
    </w:lvl>
  </w:abstractNum>
  <w:abstractNum w:abstractNumId="2">
    <w:nsid w:val="6763845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  <w:lvl w:ilvl="2">
      <w:lvlJc w:val="left"/>
      <w:lvlText w:val="§"/>
      <w:numFmt w:val="bullet"/>
      <w:start w:val="1"/>
    </w:lvl>
  </w:abstractNum>
  <w:abstractNum w:abstractNumId="3">
    <w:nsid w:val="75A2A8D4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4">
    <w:nsid w:val="8EDBDA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79838CB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  <w:lvl w:ilvl="3">
      <w:lvlJc w:val="left"/>
      <w:lvlText w:val="%4"/>
      <w:numFmt w:val="decimal"/>
      <w:start w:val="1"/>
    </w:lvl>
    <w:lvl w:ilvl="4">
      <w:lvlJc w:val="left"/>
      <w:lvlText w:val="-"/>
      <w:numFmt w:val="bullet"/>
      <w:start w:val="1"/>
    </w:lvl>
    <w:lvl w:ilvl="5">
      <w:lvlJc w:val="left"/>
      <w:lvlText w:val="%6)"/>
      <w:numFmt w:val="lowerLetter"/>
      <w:start w:val="2"/>
    </w:lvl>
  </w:abstractNum>
  <w:abstractNum w:abstractNumId="6">
    <w:nsid w:val="4353D0CD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  <w:lvl w:ilvl="3">
      <w:lvlJc w:val="left"/>
      <w:lvlText w:val="%4)"/>
      <w:numFmt w:val="decimal"/>
      <w:start w:val="2"/>
    </w:lvl>
    <w:lvl w:ilvl="4">
      <w:lvlJc w:val="left"/>
      <w:lvlText w:val="-"/>
      <w:numFmt w:val="bullet"/>
      <w:start w:val="1"/>
    </w:lvl>
    <w:lvl w:ilvl="5">
      <w:lvlJc w:val="left"/>
      <w:lvlText w:val="%6)"/>
      <w:numFmt w:val="lowerLetter"/>
      <w:start w:val="1"/>
    </w:lvl>
  </w:abstractNum>
  <w:abstractNum w:abstractNumId="7">
    <w:nsid w:val="B03E0C6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  <w:lvl w:ilvl="3">
      <w:lvlJc w:val="left"/>
      <w:lvlText w:val="%4"/>
      <w:numFmt w:val="decimal"/>
      <w:start w:val="1"/>
    </w:lvl>
    <w:lvl w:ilvl="4">
      <w:lvlJc w:val="left"/>
      <w:lvlText w:val="-"/>
      <w:numFmt w:val="bullet"/>
      <w:start w:val="1"/>
    </w:lvl>
    <w:lvl w:ilvl="5">
      <w:lvlJc w:val="left"/>
      <w:lvlText w:val="%6)"/>
      <w:numFmt w:val="lowerLetter"/>
      <w:start w:val="2"/>
    </w:lvl>
  </w:abstractNum>
  <w:abstractNum w:abstractNumId="8">
    <w:nsid w:val="189A769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3"/>
    </w:lvl>
    <w:lvl w:ilvl="2">
      <w:lvlJc w:val="left"/>
      <w:lvlText w:val="%3)"/>
      <w:numFmt w:val="decimal"/>
      <w:start w:val="1"/>
    </w:lvl>
    <w:lvl w:ilvl="3">
      <w:lvlJc w:val="left"/>
      <w:lvlText w:val="%4"/>
      <w:numFmt w:val="decimal"/>
      <w:start w:val="1"/>
    </w:lvl>
    <w:lvl w:ilvl="4">
      <w:lvlJc w:val="left"/>
      <w:lvlText w:val="-"/>
      <w:numFmt w:val="bullet"/>
      <w:start w:val="1"/>
    </w:lvl>
    <w:lvl w:ilvl="5">
      <w:lvlJc w:val="left"/>
      <w:lvlText w:val="%6"/>
      <w:numFmt w:val="lowerLetter"/>
      <w:start w:val="1"/>
    </w:lvl>
  </w:abstractNum>
  <w:abstractNum w:abstractNumId="9">
    <w:nsid w:val="54E49EB4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."/>
      <w:numFmt w:val="decimal"/>
      <w:start w:val="6"/>
    </w:lvl>
    <w:lvl w:ilvl="2">
      <w:lvlJc w:val="left"/>
      <w:lvlText w:val="%3"/>
      <w:numFmt w:val="decimal"/>
      <w:start w:val="1"/>
    </w:lvl>
    <w:lvl w:ilvl="3">
      <w:lvlJc w:val="left"/>
      <w:lvlText w:val="%4"/>
      <w:numFmt w:val="decimal"/>
      <w:start w:val="1"/>
    </w:lvl>
    <w:lvl w:ilvl="4">
      <w:lvlJc w:val="left"/>
      <w:lvlText w:val="-"/>
      <w:numFmt w:val="bullet"/>
      <w:start w:val="1"/>
    </w:lvl>
    <w:lvl w:ilvl="5">
      <w:lvlJc w:val="left"/>
      <w:lvlText w:val="%6"/>
      <w:numFmt w:val="lowerLetter"/>
      <w:start w:val="1"/>
    </w:lvl>
  </w:abstractNum>
  <w:abstractNum w:abstractNumId="10">
    <w:nsid w:val="71F32454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11">
    <w:nsid w:val="2CA88611"/>
    <w:multiLevelType w:val="hybridMultilevel"/>
    <w:lvl w:ilvl="0">
      <w:lvlJc w:val="left"/>
      <w:lvlText w:val="%1)"/>
      <w:numFmt w:val="decimal"/>
      <w:start w:val="7"/>
    </w:lvl>
    <w:lvl w:ilvl="1">
      <w:lvlJc w:val="left"/>
      <w:lvlText w:val="%2)"/>
      <w:numFmt w:val="lowerLetter"/>
      <w:start w:val="1"/>
    </w:lvl>
  </w:abstractNum>
  <w:abstractNum w:abstractNumId="12">
    <w:nsid w:val="836C40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11"/>
    </w:lvl>
  </w:abstractNum>
  <w:abstractNum w:abstractNumId="13">
    <w:nsid w:val="2901D82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14">
    <w:nsid w:val="3A95F874"/>
    <w:multiLevelType w:val="hybridMultilevel"/>
    <w:lvl w:ilvl="0">
      <w:lvlJc w:val="left"/>
      <w:lvlText w:val="%1."/>
      <w:numFmt w:val="decimal"/>
      <w:start w:val="4"/>
    </w:lvl>
  </w:abstractNum>
  <w:abstractNum w:abstractNumId="15">
    <w:nsid w:val="8138641"/>
    <w:multiLevelType w:val="hybridMultilevel"/>
    <w:lvl w:ilvl="0">
      <w:lvlJc w:val="left"/>
      <w:lvlText w:val="%1."/>
      <w:numFmt w:val="decimal"/>
      <w:start w:val="1"/>
    </w:lvl>
  </w:abstractNum>
  <w:abstractNum w:abstractNumId="16">
    <w:nsid w:val="1E7FF521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)"/>
      <w:numFmt w:val="lowerLetter"/>
      <w:start w:val="1"/>
    </w:lvl>
    <w:lvl w:ilvl="2">
      <w:lvlJc w:val="left"/>
      <w:lvlText w:val="§"/>
      <w:numFmt w:val="bullet"/>
      <w:start w:val="1"/>
    </w:lvl>
  </w:abstractNum>
  <w:abstractNum w:abstractNumId="17">
    <w:nsid w:val="7C3DBD3D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18">
    <w:nsid w:val="737B8DDC"/>
    <w:multiLevelType w:val="hybridMultilevel"/>
    <w:lvl w:ilvl="0">
      <w:lvlJc w:val="left"/>
      <w:lvlText w:val="§"/>
      <w:numFmt w:val="bullet"/>
      <w:start w:val="1"/>
    </w:lvl>
  </w:abstractNum>
  <w:abstractNum w:abstractNumId="19">
    <w:nsid w:val="6CEAF087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  <w:lvl w:ilvl="2">
      <w:lvlJc w:val="left"/>
      <w:lvlText w:val="%3)"/>
      <w:numFmt w:val="lowerLetter"/>
      <w:start w:val="1"/>
    </w:lvl>
    <w:lvl w:ilvl="3">
      <w:lvlJc w:val="left"/>
      <w:lvlText w:val="%4)"/>
      <w:numFmt w:val="lowerLetter"/>
      <w:start w:val="1"/>
    </w:lvl>
  </w:abstractNum>
  <w:abstractNum w:abstractNumId="20">
    <w:nsid w:val="22221A70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)"/>
      <w:numFmt w:val="decimal"/>
      <w:start w:val="1"/>
    </w:lvl>
    <w:lvl w:ilvl="2">
      <w:lvlJc w:val="left"/>
      <w:lvlText w:val="-"/>
      <w:numFmt w:val="bullet"/>
      <w:start w:val="1"/>
    </w:lvl>
  </w:abstractNum>
  <w:abstractNum w:abstractNumId="21">
    <w:nsid w:val="4516DDE9"/>
    <w:multiLevelType w:val="hybridMultilevel"/>
    <w:lvl w:ilvl="0">
      <w:lvlJc w:val="left"/>
      <w:lvlText w:val="%1"/>
      <w:numFmt w:val="decimal"/>
      <w:start w:val="1"/>
    </w:lvl>
  </w:abstractNum>
  <w:abstractNum w:abstractNumId="22">
    <w:nsid w:val="3006C83E"/>
    <w:multiLevelType w:val="hybridMultilevel"/>
    <w:lvl w:ilvl="0">
      <w:lvlJc w:val="left"/>
      <w:lvlText w:val="%1."/>
      <w:numFmt w:val="decimal"/>
      <w:start w:val="13"/>
    </w:lvl>
    <w:lvl w:ilvl="1">
      <w:lvlJc w:val="left"/>
      <w:lvlText w:val="§"/>
      <w:numFmt w:val="bullet"/>
      <w:start w:val="1"/>
    </w:lvl>
  </w:abstractNum>
  <w:abstractNum w:abstractNumId="23">
    <w:nsid w:val="614FD4A1"/>
    <w:multiLevelType w:val="hybridMultilevel"/>
    <w:lvl w:ilvl="0">
      <w:lvlJc w:val="left"/>
      <w:lvlText w:val="§"/>
      <w:numFmt w:val="bullet"/>
      <w:start w:val="1"/>
    </w:lvl>
  </w:abstractNum>
  <w:abstractNum w:abstractNumId="24">
    <w:nsid w:val="419AC24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lowerLetter"/>
      <w:start w:val="1"/>
    </w:lvl>
    <w:lvl w:ilvl="2">
      <w:lvlJc w:val="left"/>
      <w:lvlText w:val="%3)"/>
      <w:numFmt w:val="lowerLetter"/>
      <w:start w:val="3"/>
    </w:lvl>
  </w:abstractNum>
  <w:abstractNum w:abstractNumId="25">
    <w:nsid w:val="5577F8E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  <w:lvl w:ilvl="2">
      <w:lvlJc w:val="left"/>
      <w:lvlText w:val="%3)"/>
      <w:numFmt w:val="decimal"/>
      <w:start w:val="1"/>
    </w:lvl>
  </w:abstractNum>
  <w:abstractNum w:abstractNumId="26">
    <w:nsid w:val="440BADFC"/>
    <w:multiLevelType w:val="hybridMultilevel"/>
    <w:lvl w:ilvl="0">
      <w:lvlJc w:val="left"/>
      <w:lvlText w:val="%1)"/>
      <w:numFmt w:val="lowerLetter"/>
      <w:start w:val="2"/>
    </w:lvl>
  </w:abstractNum>
  <w:abstractNum w:abstractNumId="27">
    <w:nsid w:val="5072367"/>
    <w:multiLevelType w:val="hybridMultilevel"/>
    <w:lvl w:ilvl="0">
      <w:lvlJc w:val="left"/>
      <w:lvlText w:val="%1"/>
      <w:numFmt w:val="decimal"/>
      <w:start w:val="2"/>
    </w:lvl>
  </w:abstractNum>
  <w:abstractNum w:abstractNumId="28">
    <w:nsid w:val="3804823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2"/>
    </w:lvl>
  </w:abstractNum>
  <w:abstractNum w:abstractNumId="29">
    <w:nsid w:val="77465F01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abstractNum w:abstractNumId="30">
    <w:nsid w:val="7724C67E"/>
    <w:multiLevelType w:val="hybridMultilevel"/>
    <w:lvl w:ilvl="0">
      <w:lvlJc w:val="left"/>
      <w:lvlText w:val="%1)"/>
      <w:numFmt w:val="decimal"/>
      <w:start w:val="1"/>
    </w:lvl>
  </w:abstractNum>
  <w:abstractNum w:abstractNumId="31">
    <w:nsid w:val="5C482A97"/>
    <w:multiLevelType w:val="hybridMultilevel"/>
    <w:lvl w:ilvl="0">
      <w:lvlJc w:val="left"/>
      <w:lvlText w:val="%1)"/>
      <w:numFmt w:val="decimal"/>
      <w:start w:val="2"/>
    </w:lvl>
  </w:abstractNum>
  <w:abstractNum w:abstractNumId="32">
    <w:nsid w:val="2463B9EA"/>
    <w:multiLevelType w:val="hybridMultilevel"/>
    <w:lvl w:ilvl="0">
      <w:lvlJc w:val="left"/>
      <w:lvlText w:val="%1)"/>
      <w:numFmt w:val="decimal"/>
      <w:start w:val="3"/>
    </w:lvl>
  </w:abstractNum>
  <w:abstractNum w:abstractNumId="33">
    <w:nsid w:val="5E884ADC"/>
    <w:multiLevelType w:val="hybridMultilevel"/>
    <w:lvl w:ilvl="0">
      <w:lvlJc w:val="left"/>
      <w:lvlText w:val="§"/>
      <w:numFmt w:val="bullet"/>
      <w:start w:val="1"/>
    </w:lvl>
  </w:abstractNum>
  <w:abstractNum w:abstractNumId="34">
    <w:nsid w:val="51EAD36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§"/>
      <w:numFmt w:val="bullet"/>
      <w:start w:val="1"/>
    </w:lvl>
  </w:abstractNum>
  <w:abstractNum w:abstractNumId="35">
    <w:nsid w:val="2D517796"/>
    <w:multiLevelType w:val="hybridMultilevel"/>
    <w:lvl w:ilvl="0">
      <w:lvlJc w:val="left"/>
      <w:lvlText w:val="§"/>
      <w:numFmt w:val="bullet"/>
      <w:start w:val="1"/>
    </w:lvl>
  </w:abstractNum>
  <w:abstractNum w:abstractNumId="36">
    <w:nsid w:val="580BD78F"/>
    <w:multiLevelType w:val="hybridMultilevel"/>
    <w:lvl w:ilvl="0">
      <w:lvlJc w:val="left"/>
      <w:lvlText w:val="%1."/>
      <w:numFmt w:val="decimal"/>
      <w:start w:val="1"/>
    </w:lvl>
  </w:abstractNum>
  <w:abstractNum w:abstractNumId="37">
    <w:nsid w:val="153EA438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§"/>
      <w:numFmt w:val="bullet"/>
      <w:start w:val="1"/>
    </w:lvl>
  </w:abstractNum>
  <w:abstractNum w:abstractNumId="38">
    <w:nsid w:val="3855585C"/>
    <w:multiLevelType w:val="hybridMultilevel"/>
    <w:lvl w:ilvl="0">
      <w:lvlJc w:val="left"/>
      <w:lvlText w:val="§"/>
      <w:numFmt w:val="bullet"/>
      <w:start w:val="1"/>
    </w:lvl>
  </w:abstractNum>
  <w:abstractNum w:abstractNumId="39">
    <w:nsid w:val="70A64E2A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lowerRoman"/>
      <w:start w:val="1"/>
    </w:lvl>
    <w:lvl w:ilvl="2">
      <w:lvlJc w:val="left"/>
      <w:lvlText w:val="%3)"/>
      <w:numFmt w:val="decimal"/>
      <w:start w:val="1"/>
    </w:lvl>
    <w:lvl w:ilvl="3">
      <w:lvlJc w:val="left"/>
      <w:lvlText w:val="§"/>
      <w:numFmt w:val="bullet"/>
      <w:start w:val="1"/>
    </w:lvl>
  </w:abstractNum>
  <w:abstractNum w:abstractNumId="40">
    <w:nsid w:val="6A2342EC"/>
    <w:multiLevelType w:val="hybridMultilevel"/>
    <w:lvl w:ilvl="0">
      <w:lvlJc w:val="left"/>
      <w:lvlText w:val="%1."/>
      <w:numFmt w:val="decimal"/>
      <w:start w:val="1"/>
    </w:lvl>
  </w:abstractNum>
  <w:abstractNum w:abstractNumId="41">
    <w:nsid w:val="2A487CB0"/>
    <w:multiLevelType w:val="hybridMultilevel"/>
    <w:lvl w:ilvl="0">
      <w:lvlJc w:val="left"/>
      <w:lvlText w:val="§"/>
      <w:numFmt w:val="bullet"/>
      <w:start w:val="1"/>
    </w:lvl>
  </w:abstractNum>
  <w:abstractNum w:abstractNumId="42">
    <w:nsid w:val="1D4ED43B"/>
    <w:multiLevelType w:val="hybridMultilevel"/>
    <w:lvl w:ilvl="0">
      <w:lvlJc w:val="left"/>
      <w:lvlText w:val="§"/>
      <w:numFmt w:val="bullet"/>
      <w:start w:val="1"/>
    </w:lvl>
  </w:abstractNum>
  <w:abstractNum w:abstractNumId="43">
    <w:nsid w:val="725A06FB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3" Type="http://schemas.openxmlformats.org/officeDocument/2006/relationships/hyperlink" Target="http://www.rpo.dolnyslask.eu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2019-04-19T07:26:12Z</dcterms:created>
  <dcterms:modified xsi:type="dcterms:W3CDTF">2019-04-19T07:26:12Z</dcterms:modified>
</cp:coreProperties>
</file>